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E75CF" w14:textId="718D5768" w:rsidR="00894C2B" w:rsidRDefault="00894C2B"/>
    <w:p w14:paraId="3C9475B1"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A ce jour, voici le type d’offre que nous serions en mesure de vous proposer.</w:t>
      </w:r>
    </w:p>
    <w:p w14:paraId="2673D7C7"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Date de démarrage : dès le mois d’octobre 2022 ou ultérieurement selon dates de fin de contrats actuels</w:t>
      </w:r>
    </w:p>
    <w:p w14:paraId="4529A3EA"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Date de fin maxi : 01/04/2024</w:t>
      </w:r>
    </w:p>
    <w:p w14:paraId="698231CE"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 </w:t>
      </w:r>
    </w:p>
    <w:p w14:paraId="42BD97F5"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Contrats indexés PEG Month Ahead + PEG Day Ahead, établis sur le principe suivant :</w:t>
      </w:r>
    </w:p>
    <w:p w14:paraId="7E7B6FF6" w14:textId="77777777" w:rsidR="00A03054" w:rsidRPr="00A03054" w:rsidRDefault="00A03054" w:rsidP="00A03054">
      <w:pPr>
        <w:numPr>
          <w:ilvl w:val="0"/>
          <w:numId w:val="5"/>
        </w:numPr>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Pour chaque site, définition d’un profil de consommation avec des quantités mensuelles programmées,</w:t>
      </w:r>
    </w:p>
    <w:p w14:paraId="60832807" w14:textId="77777777" w:rsidR="00A03054" w:rsidRPr="00A03054" w:rsidRDefault="00A03054" w:rsidP="00A03054">
      <w:pPr>
        <w:numPr>
          <w:ilvl w:val="0"/>
          <w:numId w:val="5"/>
        </w:numPr>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Facturation des quantités mensuelles programmées en Take or Pay sur la base d’un prix indexé PEG MA,</w:t>
      </w:r>
    </w:p>
    <w:p w14:paraId="22A37188" w14:textId="77777777" w:rsidR="00A03054" w:rsidRPr="00A03054" w:rsidRDefault="00A03054" w:rsidP="00A03054">
      <w:pPr>
        <w:numPr>
          <w:ilvl w:val="0"/>
          <w:numId w:val="5"/>
        </w:numPr>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Facturation des quantités consommées au-delà des quantités mensuelles programmées sur la base d’un prix indexé PEG Day Ahead,</w:t>
      </w:r>
    </w:p>
    <w:p w14:paraId="734731D7" w14:textId="77777777" w:rsidR="00A03054" w:rsidRPr="00A03054" w:rsidRDefault="00A03054" w:rsidP="00A03054">
      <w:pPr>
        <w:numPr>
          <w:ilvl w:val="0"/>
          <w:numId w:val="5"/>
        </w:numPr>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Rachat des quantités non consommées par rapport aux quantités mensuelles programmées sur la base d’un prix indexé PEG Day Ahaed.</w:t>
      </w:r>
    </w:p>
    <w:p w14:paraId="0D4FF13B"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 </w:t>
      </w:r>
    </w:p>
    <w:p w14:paraId="4EE61C1B"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 </w:t>
      </w:r>
    </w:p>
    <w:p w14:paraId="6CD11012"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A titre d’exemple, pour </w:t>
      </w:r>
      <w:r w:rsidRPr="00A03054">
        <w:rPr>
          <w:rFonts w:ascii="Arial" w:eastAsia="Times New Roman" w:hAnsi="Arial" w:cs="Arial"/>
          <w:b/>
          <w:bCs/>
          <w:color w:val="222222"/>
          <w:lang w:eastAsia="fr-FR"/>
        </w:rPr>
        <w:t>la SDC 2 rue Antoine Petit c/o Cotragi</w:t>
      </w:r>
      <w:r w:rsidRPr="00A03054">
        <w:rPr>
          <w:rFonts w:ascii="Arial" w:eastAsia="Times New Roman" w:hAnsi="Arial" w:cs="Arial"/>
          <w:color w:val="222222"/>
          <w:lang w:eastAsia="fr-FR"/>
        </w:rPr>
        <w:t>, sur la base de la CAR et du profil en vigueur, pour les tarifs ATRT et ATRD en vigueur, notre proposition de contrat serait la suivante :</w:t>
      </w:r>
    </w:p>
    <w:p w14:paraId="2B6281B2" w14:textId="77777777" w:rsidR="00A03054" w:rsidRPr="00A03054" w:rsidRDefault="00A03054" w:rsidP="00A03054">
      <w:pPr>
        <w:numPr>
          <w:ilvl w:val="0"/>
          <w:numId w:val="6"/>
        </w:numPr>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Prix du gaz jusqu’au 01/04/2024 :</w:t>
      </w:r>
    </w:p>
    <w:p w14:paraId="7D164694" w14:textId="77777777" w:rsidR="00A03054" w:rsidRPr="00A03054" w:rsidRDefault="00A03054" w:rsidP="00A03054">
      <w:pPr>
        <w:numPr>
          <w:ilvl w:val="1"/>
          <w:numId w:val="7"/>
        </w:numPr>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Abonnement mensuel : </w:t>
      </w:r>
      <w:r w:rsidRPr="00A03054">
        <w:rPr>
          <w:rFonts w:ascii="Calibri" w:eastAsia="Times New Roman" w:hAnsi="Calibri" w:cs="Calibri"/>
          <w:b/>
          <w:bCs/>
          <w:color w:val="222222"/>
          <w:sz w:val="22"/>
          <w:szCs w:val="22"/>
          <w:lang w:eastAsia="fr-FR"/>
        </w:rPr>
        <w:t>6767,26 € HTT/mois</w:t>
      </w:r>
      <w:r w:rsidRPr="00A03054">
        <w:rPr>
          <w:rFonts w:ascii="Calibri" w:eastAsia="Times New Roman" w:hAnsi="Calibri" w:cs="Calibri"/>
          <w:color w:val="222222"/>
          <w:sz w:val="22"/>
          <w:szCs w:val="22"/>
          <w:lang w:eastAsia="fr-FR"/>
        </w:rPr>
        <w:t> (comprenant notamment les coûts d’acheminement de Transport (ATRT) et l’abonnement d’acheminement de Distribution (ATRD))</w:t>
      </w:r>
    </w:p>
    <w:p w14:paraId="5A9E8F74" w14:textId="77777777" w:rsidR="00A03054" w:rsidRPr="00A03054" w:rsidRDefault="00A03054" w:rsidP="00A03054">
      <w:pPr>
        <w:numPr>
          <w:ilvl w:val="1"/>
          <w:numId w:val="7"/>
        </w:numPr>
        <w:rPr>
          <w:rFonts w:ascii="Calibri" w:eastAsia="Times New Roman" w:hAnsi="Calibri" w:cs="Calibri"/>
          <w:color w:val="222222"/>
          <w:sz w:val="22"/>
          <w:szCs w:val="22"/>
          <w:lang w:eastAsia="fr-FR"/>
        </w:rPr>
      </w:pPr>
      <w:r w:rsidRPr="00A03054">
        <w:rPr>
          <w:rFonts w:ascii="Calibri" w:eastAsia="Times New Roman" w:hAnsi="Calibri" w:cs="Calibri"/>
          <w:b/>
          <w:bCs/>
          <w:color w:val="222222"/>
          <w:sz w:val="22"/>
          <w:szCs w:val="22"/>
          <w:lang w:eastAsia="fr-FR"/>
        </w:rPr>
        <w:t>TQ </w:t>
      </w:r>
      <w:r w:rsidRPr="00A03054">
        <w:rPr>
          <w:rFonts w:ascii="Calibri" w:eastAsia="Times New Roman" w:hAnsi="Calibri" w:cs="Calibri"/>
          <w:b/>
          <w:bCs/>
          <w:color w:val="222222"/>
          <w:sz w:val="22"/>
          <w:szCs w:val="22"/>
          <w:vertAlign w:val="subscript"/>
          <w:lang w:eastAsia="fr-FR"/>
        </w:rPr>
        <w:t>ATRD</w:t>
      </w:r>
      <w:r w:rsidRPr="00A03054">
        <w:rPr>
          <w:rFonts w:ascii="Calibri" w:eastAsia="Times New Roman" w:hAnsi="Calibri" w:cs="Calibri"/>
          <w:color w:val="222222"/>
          <w:sz w:val="22"/>
          <w:szCs w:val="22"/>
          <w:lang w:eastAsia="fr-FR"/>
        </w:rPr>
        <w:t> appliqué aux </w:t>
      </w:r>
      <w:r w:rsidRPr="00A03054">
        <w:rPr>
          <w:rFonts w:ascii="Calibri" w:eastAsia="Times New Roman" w:hAnsi="Calibri" w:cs="Calibri"/>
          <w:b/>
          <w:bCs/>
          <w:color w:val="222222"/>
          <w:sz w:val="22"/>
          <w:szCs w:val="22"/>
          <w:lang w:eastAsia="fr-FR"/>
        </w:rPr>
        <w:t>quantités mensuelles consommées :</w:t>
      </w:r>
      <w:r w:rsidRPr="00A03054">
        <w:rPr>
          <w:rFonts w:ascii="Calibri" w:eastAsia="Times New Roman" w:hAnsi="Calibri" w:cs="Calibri"/>
          <w:color w:val="222222"/>
          <w:sz w:val="22"/>
          <w:szCs w:val="22"/>
          <w:lang w:eastAsia="fr-FR"/>
        </w:rPr>
        <w:t> </w:t>
      </w:r>
      <w:r w:rsidRPr="00A03054">
        <w:rPr>
          <w:rFonts w:ascii="Calibri" w:eastAsia="Times New Roman" w:hAnsi="Calibri" w:cs="Calibri"/>
          <w:b/>
          <w:bCs/>
          <w:color w:val="222222"/>
          <w:sz w:val="22"/>
          <w:szCs w:val="22"/>
          <w:lang w:eastAsia="fr-FR"/>
        </w:rPr>
        <w:t>6,15 € HTT/MWh</w:t>
      </w:r>
      <w:r w:rsidRPr="00A03054">
        <w:rPr>
          <w:rFonts w:ascii="Calibri" w:eastAsia="Times New Roman" w:hAnsi="Calibri" w:cs="Calibri"/>
          <w:color w:val="222222"/>
          <w:sz w:val="22"/>
          <w:szCs w:val="22"/>
          <w:lang w:eastAsia="fr-FR"/>
        </w:rPr>
        <w:t> (prix proportionnel d’acheminement de Distribution (ATRD))</w:t>
      </w:r>
    </w:p>
    <w:p w14:paraId="0FF2405E" w14:textId="77777777" w:rsidR="00A03054" w:rsidRPr="00A03054" w:rsidRDefault="00A03054" w:rsidP="00A03054">
      <w:pPr>
        <w:numPr>
          <w:ilvl w:val="1"/>
          <w:numId w:val="7"/>
        </w:numPr>
        <w:rPr>
          <w:rFonts w:ascii="Calibri" w:eastAsia="Times New Roman" w:hAnsi="Calibri" w:cs="Calibri"/>
          <w:color w:val="222222"/>
          <w:sz w:val="22"/>
          <w:szCs w:val="22"/>
          <w:lang w:eastAsia="fr-FR"/>
        </w:rPr>
      </w:pPr>
      <w:r w:rsidRPr="00A03054">
        <w:rPr>
          <w:rFonts w:ascii="Calibri" w:eastAsia="Times New Roman" w:hAnsi="Calibri" w:cs="Calibri"/>
          <w:b/>
          <w:bCs/>
          <w:color w:val="222222"/>
          <w:sz w:val="22"/>
          <w:szCs w:val="22"/>
          <w:lang w:eastAsia="fr-FR"/>
        </w:rPr>
        <w:t>TQ</w:t>
      </w:r>
      <w:r w:rsidRPr="00A03054">
        <w:rPr>
          <w:rFonts w:ascii="Calibri" w:eastAsia="Times New Roman" w:hAnsi="Calibri" w:cs="Calibri"/>
          <w:b/>
          <w:bCs/>
          <w:color w:val="222222"/>
          <w:sz w:val="22"/>
          <w:szCs w:val="22"/>
          <w:vertAlign w:val="subscript"/>
          <w:lang w:eastAsia="fr-FR"/>
        </w:rPr>
        <w:t>PEG_Month_Ahead</w:t>
      </w:r>
      <w:r w:rsidRPr="00A03054">
        <w:rPr>
          <w:rFonts w:ascii="Calibri" w:eastAsia="Times New Roman" w:hAnsi="Calibri" w:cs="Calibri"/>
          <w:color w:val="222222"/>
          <w:sz w:val="22"/>
          <w:szCs w:val="22"/>
          <w:lang w:eastAsia="fr-FR"/>
        </w:rPr>
        <w:t> appliqué aux </w:t>
      </w:r>
      <w:r w:rsidRPr="00A03054">
        <w:rPr>
          <w:rFonts w:ascii="Calibri" w:eastAsia="Times New Roman" w:hAnsi="Calibri" w:cs="Calibri"/>
          <w:b/>
          <w:bCs/>
          <w:color w:val="222222"/>
          <w:sz w:val="22"/>
          <w:szCs w:val="22"/>
          <w:lang w:eastAsia="fr-FR"/>
        </w:rPr>
        <w:t>quantités mensuelles programmées en Take or Pay</w:t>
      </w:r>
      <w:r w:rsidRPr="00A03054">
        <w:rPr>
          <w:rFonts w:ascii="Calibri" w:eastAsia="Times New Roman" w:hAnsi="Calibri" w:cs="Calibri"/>
          <w:color w:val="222222"/>
          <w:sz w:val="22"/>
          <w:szCs w:val="22"/>
          <w:lang w:eastAsia="fr-FR"/>
        </w:rPr>
        <w:t> : </w:t>
      </w:r>
      <w:r w:rsidRPr="00A03054">
        <w:rPr>
          <w:rFonts w:ascii="Calibri" w:eastAsia="Times New Roman" w:hAnsi="Calibri" w:cs="Calibri"/>
          <w:b/>
          <w:bCs/>
          <w:color w:val="222222"/>
          <w:sz w:val="22"/>
          <w:szCs w:val="22"/>
          <w:lang w:eastAsia="fr-FR"/>
        </w:rPr>
        <w:t>« 4,30 + PEG_MA_Index » € HTT/MWh</w:t>
      </w:r>
    </w:p>
    <w:p w14:paraId="5B9C06DA" w14:textId="77777777" w:rsidR="00A03054" w:rsidRPr="00A03054" w:rsidRDefault="00A03054" w:rsidP="00A03054">
      <w:pPr>
        <w:numPr>
          <w:ilvl w:val="1"/>
          <w:numId w:val="7"/>
        </w:numPr>
        <w:rPr>
          <w:rFonts w:ascii="Calibri" w:eastAsia="Times New Roman" w:hAnsi="Calibri" w:cs="Calibri"/>
          <w:color w:val="222222"/>
          <w:sz w:val="22"/>
          <w:szCs w:val="22"/>
          <w:lang w:eastAsia="fr-FR"/>
        </w:rPr>
      </w:pPr>
      <w:r w:rsidRPr="00A03054">
        <w:rPr>
          <w:rFonts w:ascii="Calibri" w:eastAsia="Times New Roman" w:hAnsi="Calibri" w:cs="Calibri"/>
          <w:b/>
          <w:bCs/>
          <w:color w:val="222222"/>
          <w:sz w:val="22"/>
          <w:szCs w:val="22"/>
          <w:lang w:eastAsia="fr-FR"/>
        </w:rPr>
        <w:t>TQ</w:t>
      </w:r>
      <w:r w:rsidRPr="00A03054">
        <w:rPr>
          <w:rFonts w:ascii="Calibri" w:eastAsia="Times New Roman" w:hAnsi="Calibri" w:cs="Calibri"/>
          <w:b/>
          <w:bCs/>
          <w:color w:val="222222"/>
          <w:sz w:val="22"/>
          <w:szCs w:val="22"/>
          <w:vertAlign w:val="subscript"/>
          <w:lang w:eastAsia="fr-FR"/>
        </w:rPr>
        <w:t>PEG_Day_Ahead</w:t>
      </w:r>
      <w:r w:rsidRPr="00A03054">
        <w:rPr>
          <w:rFonts w:ascii="Calibri" w:eastAsia="Times New Roman" w:hAnsi="Calibri" w:cs="Calibri"/>
          <w:color w:val="222222"/>
          <w:sz w:val="22"/>
          <w:szCs w:val="22"/>
          <w:lang w:eastAsia="fr-FR"/>
        </w:rPr>
        <w:t> appliqué aux </w:t>
      </w:r>
      <w:r w:rsidRPr="00A03054">
        <w:rPr>
          <w:rFonts w:ascii="Calibri" w:eastAsia="Times New Roman" w:hAnsi="Calibri" w:cs="Calibri"/>
          <w:b/>
          <w:bCs/>
          <w:color w:val="222222"/>
          <w:sz w:val="22"/>
          <w:szCs w:val="22"/>
          <w:lang w:eastAsia="fr-FR"/>
        </w:rPr>
        <w:t>quantités mensuelles consommées au-delà des quantités mensuelles programmées en Take or Pay</w:t>
      </w:r>
      <w:r w:rsidRPr="00A03054">
        <w:rPr>
          <w:rFonts w:ascii="Calibri" w:eastAsia="Times New Roman" w:hAnsi="Calibri" w:cs="Calibri"/>
          <w:color w:val="222222"/>
          <w:sz w:val="22"/>
          <w:szCs w:val="22"/>
          <w:lang w:eastAsia="fr-FR"/>
        </w:rPr>
        <w:t> :</w:t>
      </w:r>
      <w:r w:rsidRPr="00A03054">
        <w:rPr>
          <w:rFonts w:ascii="Calibri" w:eastAsia="Times New Roman" w:hAnsi="Calibri" w:cs="Calibri"/>
          <w:b/>
          <w:bCs/>
          <w:color w:val="222222"/>
          <w:sz w:val="22"/>
          <w:szCs w:val="22"/>
          <w:lang w:eastAsia="fr-FR"/>
        </w:rPr>
        <w:t> « 2,20 + PEG_DA_Index » € HTT/MWh</w:t>
      </w:r>
    </w:p>
    <w:p w14:paraId="0BBFB596" w14:textId="77777777" w:rsidR="00A03054" w:rsidRPr="00A03054" w:rsidRDefault="00A03054" w:rsidP="00A03054">
      <w:pPr>
        <w:ind w:left="720"/>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 </w:t>
      </w:r>
    </w:p>
    <w:p w14:paraId="54A5ED8B" w14:textId="77777777" w:rsidR="00A03054" w:rsidRPr="00A03054" w:rsidRDefault="00A03054" w:rsidP="00A03054">
      <w:pPr>
        <w:numPr>
          <w:ilvl w:val="0"/>
          <w:numId w:val="8"/>
        </w:numPr>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Rachat des quantités mensuelles non consommées</w:t>
      </w:r>
    </w:p>
    <w:p w14:paraId="7C96D438" w14:textId="77777777" w:rsidR="00A03054" w:rsidRPr="00A03054" w:rsidRDefault="00A03054" w:rsidP="00A03054">
      <w:pPr>
        <w:numPr>
          <w:ilvl w:val="1"/>
          <w:numId w:val="8"/>
        </w:numPr>
        <w:rPr>
          <w:rFonts w:ascii="Calibri" w:eastAsia="Times New Roman" w:hAnsi="Calibri" w:cs="Calibri"/>
          <w:color w:val="222222"/>
          <w:sz w:val="22"/>
          <w:szCs w:val="22"/>
          <w:lang w:eastAsia="fr-FR"/>
        </w:rPr>
      </w:pPr>
      <w:r w:rsidRPr="00A03054">
        <w:rPr>
          <w:rFonts w:ascii="Calibri" w:eastAsia="Times New Roman" w:hAnsi="Calibri" w:cs="Calibri"/>
          <w:b/>
          <w:bCs/>
          <w:color w:val="222222"/>
          <w:sz w:val="22"/>
          <w:szCs w:val="22"/>
          <w:lang w:eastAsia="fr-FR"/>
        </w:rPr>
        <w:t>« PEG_DA_Index – 2,20 »</w:t>
      </w:r>
      <w:r w:rsidRPr="00A03054">
        <w:rPr>
          <w:rFonts w:ascii="Calibri" w:eastAsia="Times New Roman" w:hAnsi="Calibri" w:cs="Calibri"/>
          <w:b/>
          <w:bCs/>
          <w:color w:val="222222"/>
          <w:sz w:val="22"/>
          <w:szCs w:val="22"/>
          <w:lang w:val="de-DE" w:eastAsia="fr-FR"/>
        </w:rPr>
        <w:t> €HTT/MWh</w:t>
      </w:r>
    </w:p>
    <w:p w14:paraId="415869AC"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val="de-DE" w:eastAsia="fr-FR"/>
        </w:rPr>
        <w:t>Avec </w:t>
      </w:r>
    </w:p>
    <w:p w14:paraId="77DAB2BD" w14:textId="77777777" w:rsidR="00A03054" w:rsidRPr="00A03054" w:rsidRDefault="00A03054" w:rsidP="00A03054">
      <w:pPr>
        <w:numPr>
          <w:ilvl w:val="0"/>
          <w:numId w:val="9"/>
        </w:numPr>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PEG_MA_Index : PEG Month-Ahead Index est la moyenne arithmétique des prix de règlement (Settlement Prices) publiés par Powernext pour le contrat mensuel du PEG Monthly du mois m, pour chacun des jours de la période de calcul. La période de calcul est définie comme l’ensemble des jours où le contrat mensuel du mois m est le premier mois publié,</w:t>
      </w:r>
    </w:p>
    <w:p w14:paraId="1C07F2E6" w14:textId="77777777" w:rsidR="00A03054" w:rsidRPr="00A03054" w:rsidRDefault="00A03054" w:rsidP="00A03054">
      <w:pPr>
        <w:numPr>
          <w:ilvl w:val="0"/>
          <w:numId w:val="9"/>
        </w:numPr>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PEG_DA_Index : PEG Day-Ahead Index est la moyenne arithmétique non pondérée mensuelle des cotations journalières EGSI, entre le premier et le dernier jour du mois. Le prix journalier PEG Day-Ahead et Weekend European Gas Spot Index (EGSI) est publié par Powernext chaque jour.</w:t>
      </w:r>
    </w:p>
    <w:p w14:paraId="77FE2D4E"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 </w:t>
      </w:r>
    </w:p>
    <w:p w14:paraId="6D1CFBAD"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Les coûts d’acheminement Transport et Distribution sont refacturés à l’Euro l’Euro et évoluent à chaque évolution législatives et réglementaires.</w:t>
      </w:r>
    </w:p>
    <w:p w14:paraId="0BEFFCE2"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 </w:t>
      </w:r>
    </w:p>
    <w:p w14:paraId="10C52646"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 </w:t>
      </w:r>
    </w:p>
    <w:p w14:paraId="7659F96F"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lastRenderedPageBreak/>
        <w:t>Pour les autres sites de consommation, l’abonnement mensuel est à calculer au cas par cas, en fonction de la CAR/profil, des barèmes ATRD/ATRT et de la consommation prévisionnelle annuelle.</w:t>
      </w:r>
    </w:p>
    <w:p w14:paraId="74C30564"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Les valeurs des différents termes de quantités seraient les mêmes que ci-dessus.</w:t>
      </w:r>
    </w:p>
    <w:p w14:paraId="565F1915" w14:textId="19520E7A" w:rsidR="00A03054" w:rsidRDefault="00A03054"/>
    <w:p w14:paraId="7C021B9C" w14:textId="77EA1FD6" w:rsidR="00A03054" w:rsidRDefault="00A03054"/>
    <w:p w14:paraId="67AE3A72"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 </w:t>
      </w:r>
    </w:p>
    <w:p w14:paraId="22051EED" w14:textId="77777777" w:rsidR="00A03054" w:rsidRPr="00A03054" w:rsidRDefault="00A03054" w:rsidP="00A03054">
      <w:pPr>
        <w:numPr>
          <w:ilvl w:val="0"/>
          <w:numId w:val="1"/>
        </w:numPr>
        <w:rPr>
          <w:rFonts w:ascii="Calibri" w:eastAsia="Times New Roman" w:hAnsi="Calibri" w:cs="Calibri"/>
          <w:color w:val="222222"/>
          <w:sz w:val="22"/>
          <w:szCs w:val="22"/>
          <w:lang w:eastAsia="fr-FR"/>
        </w:rPr>
      </w:pPr>
      <w:r w:rsidRPr="00A03054">
        <w:rPr>
          <w:rFonts w:ascii="Calibri" w:eastAsia="Times New Roman" w:hAnsi="Calibri" w:cs="Calibri"/>
          <w:b/>
          <w:bCs/>
          <w:color w:val="222222"/>
          <w:sz w:val="22"/>
          <w:szCs w:val="22"/>
          <w:lang w:eastAsia="fr-FR"/>
        </w:rPr>
        <w:t>Commission courtier</w:t>
      </w:r>
      <w:r w:rsidRPr="00A03054">
        <w:rPr>
          <w:rFonts w:ascii="Calibri" w:eastAsia="Times New Roman" w:hAnsi="Calibri" w:cs="Calibri"/>
          <w:color w:val="222222"/>
          <w:sz w:val="22"/>
          <w:szCs w:val="22"/>
          <w:lang w:eastAsia="fr-FR"/>
        </w:rPr>
        <w:t> : nos P0 sur les quantités indexées PEG MA et PEG DA intègrent notamment nos coûts d’accès au marché, de transformation de formule, de remise sur les marchés du gaz non consommé, d’avance de trésorerie, de risque d’impayé, etc. ainsi que nos frais de gestion du contrat (facturation, encaissement,...). Aussi, doubler les P0 ne me semble pas nécessairement équilibré, et risque de rendre nos offres peu compétitives. Je ne connais pas précisément les clauses qui ont été définies avec les autres courtiers, mais il me semble que généralement la commission du courtier est plutôt de l’ordre de 1 à 2€/MWh maximum. Par ailleurs, c’est d’habitude le courtier qui nous indique le montant qu’il souhaite percevoir (en €/MWh), en sachant qu’il demande à tous les fournisseurs consultés d’ajouter la même commission afin que les offres reçues restent comparables entre elles.</w:t>
      </w:r>
    </w:p>
    <w:p w14:paraId="39803913" w14:textId="77777777" w:rsidR="00A03054" w:rsidRPr="00A03054" w:rsidRDefault="00A03054" w:rsidP="00A03054">
      <w:pPr>
        <w:rPr>
          <w:rFonts w:ascii="Arial" w:eastAsia="Times New Roman" w:hAnsi="Arial" w:cs="Arial"/>
          <w:color w:val="222222"/>
          <w:lang w:eastAsia="fr-FR"/>
        </w:rPr>
      </w:pPr>
      <w:r w:rsidRPr="00A03054">
        <w:rPr>
          <w:rFonts w:ascii="Arial" w:eastAsia="Times New Roman" w:hAnsi="Arial" w:cs="Arial"/>
          <w:color w:val="222222"/>
          <w:lang w:eastAsia="fr-FR"/>
        </w:rPr>
        <w:t> </w:t>
      </w:r>
    </w:p>
    <w:p w14:paraId="071A529E" w14:textId="77777777" w:rsidR="00A03054" w:rsidRPr="00A03054" w:rsidRDefault="00A03054" w:rsidP="00A03054">
      <w:pPr>
        <w:numPr>
          <w:ilvl w:val="0"/>
          <w:numId w:val="2"/>
        </w:numPr>
        <w:rPr>
          <w:rFonts w:ascii="Calibri" w:eastAsia="Times New Roman" w:hAnsi="Calibri" w:cs="Calibri"/>
          <w:color w:val="222222"/>
          <w:sz w:val="22"/>
          <w:szCs w:val="22"/>
          <w:lang w:eastAsia="fr-FR"/>
        </w:rPr>
      </w:pPr>
      <w:r w:rsidRPr="00A03054">
        <w:rPr>
          <w:rFonts w:ascii="Calibri" w:eastAsia="Times New Roman" w:hAnsi="Calibri" w:cs="Calibri"/>
          <w:b/>
          <w:bCs/>
          <w:color w:val="222222"/>
          <w:sz w:val="22"/>
          <w:szCs w:val="22"/>
          <w:lang w:eastAsia="fr-FR"/>
        </w:rPr>
        <w:t>Sous-estimation du volume mensuel</w:t>
      </w:r>
      <w:r w:rsidRPr="00A03054">
        <w:rPr>
          <w:rFonts w:ascii="Calibri" w:eastAsia="Times New Roman" w:hAnsi="Calibri" w:cs="Calibri"/>
          <w:color w:val="222222"/>
          <w:sz w:val="22"/>
          <w:szCs w:val="22"/>
          <w:lang w:eastAsia="fr-FR"/>
        </w:rPr>
        <w:t> : je ne suis pas certain de bien comprendre votre question. Si les volumes mensuels ont été sous-estimés, le client achète les consommations programmées en PEG MA et les consommations supplémentaires en PEG DA. Il n’y a alors pas de quantités en surplus disponibles à revendre sur le spot.</w:t>
      </w:r>
    </w:p>
    <w:p w14:paraId="17E01A2B" w14:textId="77777777" w:rsidR="00A03054" w:rsidRPr="00A03054" w:rsidRDefault="00A03054" w:rsidP="00A03054">
      <w:pPr>
        <w:ind w:left="720"/>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 </w:t>
      </w:r>
    </w:p>
    <w:p w14:paraId="0B58A1E4" w14:textId="77777777" w:rsidR="00A03054" w:rsidRPr="00A03054" w:rsidRDefault="00A03054" w:rsidP="00A03054">
      <w:pPr>
        <w:numPr>
          <w:ilvl w:val="0"/>
          <w:numId w:val="3"/>
        </w:numPr>
        <w:rPr>
          <w:rFonts w:ascii="Calibri" w:eastAsia="Times New Roman" w:hAnsi="Calibri" w:cs="Calibri"/>
          <w:color w:val="222222"/>
          <w:sz w:val="22"/>
          <w:szCs w:val="22"/>
          <w:lang w:eastAsia="fr-FR"/>
        </w:rPr>
      </w:pPr>
      <w:r w:rsidRPr="00A03054">
        <w:rPr>
          <w:rFonts w:ascii="Calibri" w:eastAsia="Times New Roman" w:hAnsi="Calibri" w:cs="Calibri"/>
          <w:b/>
          <w:bCs/>
          <w:color w:val="222222"/>
          <w:sz w:val="22"/>
          <w:szCs w:val="22"/>
          <w:lang w:eastAsia="fr-FR"/>
        </w:rPr>
        <w:t>Plaquette de présentation</w:t>
      </w:r>
      <w:r w:rsidRPr="00A03054">
        <w:rPr>
          <w:rFonts w:ascii="Calibri" w:eastAsia="Times New Roman" w:hAnsi="Calibri" w:cs="Calibri"/>
          <w:color w:val="222222"/>
          <w:sz w:val="22"/>
          <w:szCs w:val="22"/>
          <w:lang w:eastAsia="fr-FR"/>
        </w:rPr>
        <w:t> : je reviens vers vous au plus vite</w:t>
      </w:r>
    </w:p>
    <w:p w14:paraId="62475921" w14:textId="77777777" w:rsidR="00A03054" w:rsidRPr="00A03054" w:rsidRDefault="00A03054" w:rsidP="00A03054">
      <w:pPr>
        <w:ind w:left="720"/>
        <w:rPr>
          <w:rFonts w:ascii="Calibri" w:eastAsia="Times New Roman" w:hAnsi="Calibri" w:cs="Calibri"/>
          <w:color w:val="222222"/>
          <w:sz w:val="22"/>
          <w:szCs w:val="22"/>
          <w:lang w:eastAsia="fr-FR"/>
        </w:rPr>
      </w:pPr>
      <w:r w:rsidRPr="00A03054">
        <w:rPr>
          <w:rFonts w:ascii="Calibri" w:eastAsia="Times New Roman" w:hAnsi="Calibri" w:cs="Calibri"/>
          <w:color w:val="222222"/>
          <w:sz w:val="22"/>
          <w:szCs w:val="22"/>
          <w:lang w:eastAsia="fr-FR"/>
        </w:rPr>
        <w:t> </w:t>
      </w:r>
    </w:p>
    <w:p w14:paraId="663334C2" w14:textId="192D6F79" w:rsidR="00A03054" w:rsidRDefault="00A03054" w:rsidP="00A03054">
      <w:pPr>
        <w:numPr>
          <w:ilvl w:val="0"/>
          <w:numId w:val="4"/>
        </w:numPr>
        <w:rPr>
          <w:rFonts w:ascii="Calibri" w:eastAsia="Times New Roman" w:hAnsi="Calibri" w:cs="Calibri"/>
          <w:color w:val="222222"/>
          <w:sz w:val="22"/>
          <w:szCs w:val="22"/>
          <w:lang w:eastAsia="fr-FR"/>
        </w:rPr>
      </w:pPr>
      <w:r w:rsidRPr="00A03054">
        <w:rPr>
          <w:rFonts w:ascii="Calibri" w:eastAsia="Times New Roman" w:hAnsi="Calibri" w:cs="Calibri"/>
          <w:b/>
          <w:bCs/>
          <w:color w:val="222222"/>
          <w:sz w:val="22"/>
          <w:szCs w:val="22"/>
          <w:lang w:eastAsia="fr-FR"/>
        </w:rPr>
        <w:t>Bouclier tarifaire pour le compte des clients</w:t>
      </w:r>
      <w:r w:rsidRPr="00A03054">
        <w:rPr>
          <w:rFonts w:ascii="Calibri" w:eastAsia="Times New Roman" w:hAnsi="Calibri" w:cs="Calibri"/>
          <w:color w:val="222222"/>
          <w:sz w:val="22"/>
          <w:szCs w:val="22"/>
          <w:lang w:eastAsia="fr-FR"/>
        </w:rPr>
        <w:t> : oui, nous avons fait les demandes d’acompte et de solde d’aide pour les copro qui étaient éligibles pour la période 01/11/21-30/06/22 et qui nous avaient retourné l’attestation sur l’honneur. Le décret qui doit entériner la prolongation du dispositif pour le second semestre 2022 n’a pas encore été publié. Le projet de décret est à l’ordre du jour du Conseil Supérieur de l’Energie de demain, donc la parution de ce décret ne devrait plus tarder. Si la rédaction n’évolue pas, la date de dépôt de la demande pour le 2</w:t>
      </w:r>
      <w:r w:rsidRPr="00A03054">
        <w:rPr>
          <w:rFonts w:ascii="Calibri" w:eastAsia="Times New Roman" w:hAnsi="Calibri" w:cs="Calibri"/>
          <w:color w:val="222222"/>
          <w:sz w:val="22"/>
          <w:szCs w:val="22"/>
          <w:vertAlign w:val="superscript"/>
          <w:lang w:eastAsia="fr-FR"/>
        </w:rPr>
        <w:t>nd</w:t>
      </w:r>
      <w:r w:rsidRPr="00A03054">
        <w:rPr>
          <w:rFonts w:ascii="Calibri" w:eastAsia="Times New Roman" w:hAnsi="Calibri" w:cs="Calibri"/>
          <w:color w:val="222222"/>
          <w:sz w:val="22"/>
          <w:szCs w:val="22"/>
          <w:lang w:eastAsia="fr-FR"/>
        </w:rPr>
        <w:t>semestre 2022 sera le 01/03/23, sans demande d’acompte en cours de période. Les clients ne percevront donc pas l’aide avant la mi-avril 2023 et auront donc déjà dû payer pratiquement toutes les factures relatives à la période hivernale avant de percevoir l’aide (qui ne couvrira que la première partie de l’hiver).</w:t>
      </w:r>
    </w:p>
    <w:p w14:paraId="7F1A2894" w14:textId="2993BBBD" w:rsidR="001A38F9" w:rsidRDefault="001A38F9" w:rsidP="001A38F9">
      <w:pPr>
        <w:rPr>
          <w:rFonts w:ascii="Calibri" w:eastAsia="Times New Roman" w:hAnsi="Calibri" w:cs="Calibri"/>
          <w:color w:val="222222"/>
          <w:sz w:val="22"/>
          <w:szCs w:val="22"/>
          <w:lang w:eastAsia="fr-FR"/>
        </w:rPr>
      </w:pPr>
    </w:p>
    <w:p w14:paraId="239612CF" w14:textId="4F5C5E2C" w:rsidR="001A38F9" w:rsidRDefault="001A38F9" w:rsidP="001A38F9">
      <w:pPr>
        <w:rPr>
          <w:rFonts w:ascii="Calibri" w:eastAsia="Times New Roman" w:hAnsi="Calibri" w:cs="Calibri"/>
          <w:color w:val="222222"/>
          <w:sz w:val="22"/>
          <w:szCs w:val="22"/>
          <w:lang w:eastAsia="fr-FR"/>
        </w:rPr>
      </w:pPr>
    </w:p>
    <w:p w14:paraId="7972C2CF" w14:textId="77777777" w:rsidR="001A38F9" w:rsidRPr="001A38F9" w:rsidRDefault="001A38F9" w:rsidP="001A38F9">
      <w:pPr>
        <w:rPr>
          <w:rFonts w:ascii="Arial" w:eastAsia="Times New Roman" w:hAnsi="Arial" w:cs="Arial"/>
          <w:color w:val="222222"/>
          <w:lang w:eastAsia="fr-FR"/>
        </w:rPr>
      </w:pPr>
      <w:r w:rsidRPr="001A38F9">
        <w:rPr>
          <w:rFonts w:ascii="Arial" w:eastAsia="Times New Roman" w:hAnsi="Arial" w:cs="Arial"/>
          <w:color w:val="222222"/>
          <w:lang w:eastAsia="fr-FR"/>
        </w:rPr>
        <w:t>ui en cas de sur-estimation, le client bénéficie de la revente du surplus au prix spot minoré de 2.2€/MWh (coût de remise sur le marché des quantités non consommées). Selon l’évolution du marché spot par rapport au marché à terme Month Ahead, les quantités non consommées peuvent être rachetées à un prix plus ou moins élevé que les quantités programmées.</w:t>
      </w:r>
    </w:p>
    <w:p w14:paraId="42A86D6B" w14:textId="77777777" w:rsidR="001A38F9" w:rsidRPr="001A38F9" w:rsidRDefault="001A38F9" w:rsidP="001A38F9">
      <w:pPr>
        <w:rPr>
          <w:rFonts w:ascii="Arial" w:eastAsia="Times New Roman" w:hAnsi="Arial" w:cs="Arial"/>
          <w:color w:val="222222"/>
          <w:lang w:eastAsia="fr-FR"/>
        </w:rPr>
      </w:pPr>
      <w:r w:rsidRPr="001A38F9">
        <w:rPr>
          <w:rFonts w:ascii="Arial" w:eastAsia="Times New Roman" w:hAnsi="Arial" w:cs="Arial"/>
          <w:color w:val="222222"/>
          <w:lang w:eastAsia="fr-FR"/>
        </w:rPr>
        <w:t> </w:t>
      </w:r>
    </w:p>
    <w:p w14:paraId="527A8334" w14:textId="77777777" w:rsidR="001A38F9" w:rsidRPr="001A38F9" w:rsidRDefault="001A38F9" w:rsidP="001A38F9">
      <w:pPr>
        <w:rPr>
          <w:rFonts w:ascii="Arial" w:eastAsia="Times New Roman" w:hAnsi="Arial" w:cs="Arial"/>
          <w:color w:val="222222"/>
          <w:lang w:eastAsia="fr-FR"/>
        </w:rPr>
      </w:pPr>
      <w:r w:rsidRPr="001A38F9">
        <w:rPr>
          <w:rFonts w:ascii="Arial" w:eastAsia="Times New Roman" w:hAnsi="Arial" w:cs="Arial"/>
          <w:color w:val="222222"/>
          <w:lang w:eastAsia="fr-FR"/>
        </w:rPr>
        <w:t>A ma connaissance, nous versons toujours les commissions des courtiers à terme échu, sur la base des consommations réelles et une fois par an. Il faut que je me renseigne plus en détail.</w:t>
      </w:r>
    </w:p>
    <w:p w14:paraId="410839DB" w14:textId="77777777" w:rsidR="001A38F9" w:rsidRPr="001A38F9" w:rsidRDefault="001A38F9" w:rsidP="001A38F9">
      <w:pPr>
        <w:rPr>
          <w:rFonts w:ascii="Arial" w:eastAsia="Times New Roman" w:hAnsi="Arial" w:cs="Arial"/>
          <w:color w:val="222222"/>
          <w:lang w:eastAsia="fr-FR"/>
        </w:rPr>
      </w:pPr>
      <w:r w:rsidRPr="001A38F9">
        <w:rPr>
          <w:rFonts w:ascii="Arial" w:eastAsia="Times New Roman" w:hAnsi="Arial" w:cs="Arial"/>
          <w:color w:val="222222"/>
          <w:lang w:eastAsia="fr-FR"/>
        </w:rPr>
        <w:t> </w:t>
      </w:r>
    </w:p>
    <w:p w14:paraId="2595A90F" w14:textId="77777777" w:rsidR="001A38F9" w:rsidRPr="00A03054" w:rsidRDefault="001A38F9" w:rsidP="001A38F9">
      <w:pPr>
        <w:rPr>
          <w:rFonts w:ascii="Calibri" w:eastAsia="Times New Roman" w:hAnsi="Calibri" w:cs="Calibri"/>
          <w:color w:val="222222"/>
          <w:sz w:val="22"/>
          <w:szCs w:val="22"/>
          <w:lang w:eastAsia="fr-FR"/>
        </w:rPr>
      </w:pPr>
    </w:p>
    <w:p w14:paraId="6BD451CC" w14:textId="77777777" w:rsidR="00A03054" w:rsidRDefault="00A03054"/>
    <w:sectPr w:rsidR="00A030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83A6F"/>
    <w:multiLevelType w:val="multilevel"/>
    <w:tmpl w:val="EE780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E93949"/>
    <w:multiLevelType w:val="multilevel"/>
    <w:tmpl w:val="EDE2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C46223"/>
    <w:multiLevelType w:val="multilevel"/>
    <w:tmpl w:val="4786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DF6489"/>
    <w:multiLevelType w:val="multilevel"/>
    <w:tmpl w:val="6E74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9059E2"/>
    <w:multiLevelType w:val="multilevel"/>
    <w:tmpl w:val="F6223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CF025B"/>
    <w:multiLevelType w:val="multilevel"/>
    <w:tmpl w:val="30904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170FC6"/>
    <w:multiLevelType w:val="multilevel"/>
    <w:tmpl w:val="873A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214A45"/>
    <w:multiLevelType w:val="multilevel"/>
    <w:tmpl w:val="1EA06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AE577CF"/>
    <w:multiLevelType w:val="multilevel"/>
    <w:tmpl w:val="0C0A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4126987">
    <w:abstractNumId w:val="1"/>
  </w:num>
  <w:num w:numId="2" w16cid:durableId="853109222">
    <w:abstractNumId w:val="2"/>
  </w:num>
  <w:num w:numId="3" w16cid:durableId="1696928560">
    <w:abstractNumId w:val="6"/>
  </w:num>
  <w:num w:numId="4" w16cid:durableId="1603026463">
    <w:abstractNumId w:val="5"/>
  </w:num>
  <w:num w:numId="5" w16cid:durableId="1551724920">
    <w:abstractNumId w:val="8"/>
  </w:num>
  <w:num w:numId="6" w16cid:durableId="1255628601">
    <w:abstractNumId w:val="0"/>
  </w:num>
  <w:num w:numId="7" w16cid:durableId="1381052112">
    <w:abstractNumId w:val="7"/>
  </w:num>
  <w:num w:numId="8" w16cid:durableId="682515243">
    <w:abstractNumId w:val="4"/>
  </w:num>
  <w:num w:numId="9" w16cid:durableId="1026830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054"/>
    <w:rsid w:val="001A38F9"/>
    <w:rsid w:val="00894C2B"/>
    <w:rsid w:val="00A03054"/>
    <w:rsid w:val="00A04DEC"/>
    <w:rsid w:val="00BD6B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3F4ECE9"/>
  <w15:chartTrackingRefBased/>
  <w15:docId w15:val="{06B0CEFF-01E7-4948-98E2-8C41FD6F0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7096722025725509151msolistparagraph">
    <w:name w:val="m_7096722025725509151msolistparagraph"/>
    <w:basedOn w:val="Normal"/>
    <w:rsid w:val="00A03054"/>
    <w:pPr>
      <w:spacing w:before="100" w:beforeAutospacing="1" w:after="100" w:afterAutospacing="1"/>
    </w:pPr>
    <w:rPr>
      <w:rFonts w:ascii="Times New Roman" w:eastAsia="Times New Roman" w:hAnsi="Times New Roman" w:cs="Times New Roman"/>
      <w:lang w:eastAsia="fr-FR"/>
    </w:rPr>
  </w:style>
  <w:style w:type="paragraph" w:customStyle="1" w:styleId="m-119613022913939743msolistparagraph">
    <w:name w:val="m_-119613022913939743msolistparagraph"/>
    <w:basedOn w:val="Normal"/>
    <w:rsid w:val="00A03054"/>
    <w:pPr>
      <w:spacing w:before="100" w:beforeAutospacing="1" w:after="100" w:afterAutospacing="1"/>
    </w:pPr>
    <w:rPr>
      <w:rFonts w:ascii="Times New Roman" w:eastAsia="Times New Roman" w:hAnsi="Times New Roman" w:cs="Times New Roman"/>
      <w:lang w:eastAsia="fr-FR"/>
    </w:rPr>
  </w:style>
  <w:style w:type="character" w:customStyle="1" w:styleId="apple-converted-space">
    <w:name w:val="apple-converted-space"/>
    <w:basedOn w:val="Policepardfaut"/>
    <w:rsid w:val="00A03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787719">
      <w:bodyDiv w:val="1"/>
      <w:marLeft w:val="0"/>
      <w:marRight w:val="0"/>
      <w:marTop w:val="0"/>
      <w:marBottom w:val="0"/>
      <w:divBdr>
        <w:top w:val="none" w:sz="0" w:space="0" w:color="auto"/>
        <w:left w:val="none" w:sz="0" w:space="0" w:color="auto"/>
        <w:bottom w:val="none" w:sz="0" w:space="0" w:color="auto"/>
        <w:right w:val="none" w:sz="0" w:space="0" w:color="auto"/>
      </w:divBdr>
    </w:div>
    <w:div w:id="1396202133">
      <w:bodyDiv w:val="1"/>
      <w:marLeft w:val="0"/>
      <w:marRight w:val="0"/>
      <w:marTop w:val="0"/>
      <w:marBottom w:val="0"/>
      <w:divBdr>
        <w:top w:val="none" w:sz="0" w:space="0" w:color="auto"/>
        <w:left w:val="none" w:sz="0" w:space="0" w:color="auto"/>
        <w:bottom w:val="none" w:sz="0" w:space="0" w:color="auto"/>
        <w:right w:val="none" w:sz="0" w:space="0" w:color="auto"/>
      </w:divBdr>
    </w:div>
    <w:div w:id="184851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832</Words>
  <Characters>4579</Characters>
  <Application>Microsoft Office Word</Application>
  <DocSecurity>0</DocSecurity>
  <Lines>38</Lines>
  <Paragraphs>10</Paragraphs>
  <ScaleCrop>false</ScaleCrop>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Frédérick Marchand</dc:creator>
  <cp:keywords/>
  <dc:description/>
  <cp:lastModifiedBy>Frédérick Marchand</cp:lastModifiedBy>
  <cp:revision>2</cp:revision>
  <dcterms:created xsi:type="dcterms:W3CDTF">2022-10-05T13:27:00Z</dcterms:created>
  <dcterms:modified xsi:type="dcterms:W3CDTF">2022-10-05T13:27:00Z</dcterms:modified>
</cp:coreProperties>
</file>